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110"/>
      </w:tblGrid>
      <w:tr w:rsidR="00DE74F3" w:rsidTr="009728AB">
        <w:tc>
          <w:tcPr>
            <w:tcW w:w="1668" w:type="dxa"/>
          </w:tcPr>
          <w:p w:rsidR="00DE74F3" w:rsidRDefault="00DE74F3" w:rsidP="00E20E7D">
            <w:pPr>
              <w:spacing w:line="240" w:lineRule="atLeast"/>
              <w:ind w:left="-142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</w:pPr>
            <w:r w:rsidRPr="00E30794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1"/>
                <w:lang w:eastAsia="it-IT"/>
              </w:rPr>
              <w:drawing>
                <wp:inline distT="0" distB="0" distL="0" distR="0">
                  <wp:extent cx="992796" cy="445050"/>
                  <wp:effectExtent l="19050" t="0" r="0" b="0"/>
                  <wp:docPr id="2" name="Immagine 0" descr="Logo_GiorniOs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iorniOscar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03" cy="45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vAlign w:val="center"/>
          </w:tcPr>
          <w:p w:rsidR="009728AB" w:rsidRDefault="00726598" w:rsidP="009728AB">
            <w:pPr>
              <w:shd w:val="clear" w:color="auto" w:fill="FFFFFF"/>
              <w:spacing w:before="36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</w:pPr>
            <w:r w:rsidRPr="00E3079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PARTECIPA COME SPONSOR AL WORKSHOP </w:t>
            </w:r>
            <w:proofErr w:type="spellStart"/>
            <w:r w:rsidRPr="00E3079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 w:rsidRPr="00E3079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ELEMENTI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PER PRESENTARE LA NUOVA LASTRA PER ROTATORIE ED IL CORDOLO DRENANTE CHE SI INSERISCONO NEL TEMA TRATTATO </w:t>
            </w:r>
            <w:r w:rsidR="004E4231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CON IL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WORKSHOP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</w:t>
            </w:r>
            <w:r w:rsidR="00087D3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ELEMENTI</w:t>
            </w:r>
            <w:r w:rsidR="00087D3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”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PER NUOVE E GRANDI STRUTTURE.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FATTI, PER TUTTE LE NUOVE INFRASTRUTTURE C’È SEMPRE CRESCENTE BISOGNO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RAZIONALIZZARE IL SISTEMA VIARIO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COLLEGAMENTO TRA L’ESISTENTE ED IL NUOVO. I DUE SISTEMI PROPOSTI, VISIBILI RISPETTIVAMENTE AI LINK </w:t>
            </w:r>
            <w:hyperlink r:id="rId5" w:history="1">
              <w:r w:rsidR="00A510B7">
                <w:rPr>
                  <w:rStyle w:val="Collegamentoipertestuale"/>
                </w:rPr>
                <w:t>Http://Www.Edilportale.Com/Prodotti/Giorni-Oscar-Prefabbricati/Canaletta-Drenante/Cordolo-Canaletta-Drenante_12629.Html</w:t>
              </w:r>
            </w:hyperlink>
            <w:r w:rsidR="00A510B7">
              <w:t xml:space="preserve"> </w:t>
            </w:r>
            <w:r w:rsidR="00A510B7" w:rsidRPr="00A510B7">
              <w:rPr>
                <w:b/>
              </w:rPr>
              <w:t>E</w:t>
            </w:r>
            <w:r w:rsidR="00A510B7">
              <w:t xml:space="preserve"> </w:t>
            </w:r>
            <w:hyperlink r:id="rId6" w:history="1">
              <w:r w:rsidR="00A510B7">
                <w:rPr>
                  <w:rStyle w:val="Collegamentoipertestuale"/>
                </w:rPr>
                <w:t>Http://Www.Edilportale.Com/Prodotti/Giorni-Oscar-Prefabbricati/Pavimentazione-Per-Marciapiede-E-Cordolatura/Lastra-Per-Rotatorie_31073.Html</w:t>
              </w:r>
            </w:hyperlink>
            <w:r w:rsidR="00A510B7">
              <w:t xml:space="preserve"> </w:t>
            </w:r>
            <w:r w:rsidR="00A510B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ESPLETANO</w:t>
            </w:r>
            <w:r w:rsidR="00A510B7" w:rsidRPr="00A510B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</w:t>
            </w:r>
            <w:r w:rsidR="00A510B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IN PIENO</w:t>
            </w:r>
            <w:r w:rsidR="00A510B7" w:rsidRPr="00A510B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QUESTA FUNZIONALIT</w:t>
            </w:r>
            <w:r w:rsidR="00A510B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, ANDANDO AD OTTIMIZZARE LA FUNZIONALITÀ DELL’OPERA OLTRE AD INCREMENTARE I TEMPI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DURABILITÀ IN OPERA STESSA.</w:t>
            </w:r>
            <w:r w:rsidR="009728AB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</w:t>
            </w:r>
            <w:proofErr w:type="spellStart"/>
            <w:r w:rsidR="00087D3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>DI</w:t>
            </w:r>
            <w:proofErr w:type="spellEnd"/>
            <w:r w:rsidR="00087D3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lang w:eastAsia="it-IT"/>
              </w:rPr>
              <w:t xml:space="preserve"> SEGUITO SI RIPORTA IL PROGRAMMA DEL WORKSHOP INVITANDO TUTTI GLI INTERESSATI AD ACCREDITARSI PER PRENDERNE PARTE ATTIVA.</w:t>
            </w:r>
          </w:p>
        </w:tc>
      </w:tr>
    </w:tbl>
    <w:p w:rsid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FF0000"/>
          <w:sz w:val="21"/>
          <w:lang w:eastAsia="it-IT"/>
        </w:rPr>
      </w:pPr>
    </w:p>
    <w:p w:rsidR="009728AB" w:rsidRDefault="009728AB" w:rsidP="009728AB">
      <w:pPr>
        <w:shd w:val="clear" w:color="auto" w:fill="FFFFFF"/>
        <w:spacing w:after="0" w:line="240" w:lineRule="atLeast"/>
        <w:ind w:left="-1134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7829550" cy="1496558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872" cy="149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40"/>
          <w:szCs w:val="40"/>
          <w:lang w:eastAsia="it-IT"/>
        </w:rPr>
      </w:pPr>
      <w:r w:rsidRPr="00087D3C">
        <w:rPr>
          <w:rFonts w:ascii="Arial" w:eastAsia="Times New Roman" w:hAnsi="Arial" w:cs="Arial"/>
          <w:b/>
          <w:bCs/>
          <w:color w:val="FF0000"/>
          <w:sz w:val="40"/>
          <w:szCs w:val="40"/>
          <w:lang w:eastAsia="it-IT"/>
        </w:rPr>
        <w:t>GRANDI STRUTTURE, RESIDENZIALE, FACCIATE E SERRAMENTI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color w:val="080808"/>
          <w:sz w:val="17"/>
          <w:szCs w:val="17"/>
          <w:lang w:eastAsia="it-IT"/>
        </w:rPr>
        <w:t>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CON LA PARTECIPAZIONE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DI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: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Barreca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&amp; La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Varra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- arch.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Gianandrea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Barreca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/ 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Consalez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Rossi Architetti Associati - arch. Lorenzo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Consalez</w:t>
      </w:r>
      <w:proofErr w:type="spellEnd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 / Studio ABDA srl - arch. Camillo Botticini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color w:val="080808"/>
          <w:sz w:val="17"/>
          <w:szCs w:val="17"/>
          <w:lang w:eastAsia="it-IT"/>
        </w:rPr>
        <w:t>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ore 9.00 - 16.00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color w:val="080808"/>
          <w:sz w:val="17"/>
          <w:szCs w:val="17"/>
          <w:lang w:eastAsia="it-IT"/>
        </w:rPr>
        <w:t>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 xml:space="preserve">Sala Orlando, Palazzo </w:t>
      </w:r>
      <w:proofErr w:type="spellStart"/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Castiglioni</w:t>
      </w:r>
      <w:proofErr w:type="spellEnd"/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080808"/>
          <w:sz w:val="21"/>
          <w:lang w:eastAsia="it-IT"/>
        </w:rPr>
        <w:t>corso Venezia 47 MILANO (MM1 Palestro)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color w:val="080808"/>
          <w:sz w:val="17"/>
          <w:szCs w:val="17"/>
          <w:lang w:eastAsia="it-IT"/>
        </w:rPr>
        <w:t> 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Il Consiglio Nazionale dei Geometri e dei Geometri Laureati riconosce</w:t>
      </w:r>
    </w:p>
    <w:p w:rsidR="00A2760A" w:rsidRPr="00A2760A" w:rsidRDefault="00A2760A" w:rsidP="00A2760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80808"/>
          <w:sz w:val="17"/>
          <w:szCs w:val="17"/>
          <w:lang w:eastAsia="it-IT"/>
        </w:rPr>
      </w:pPr>
      <w:r w:rsidRPr="00A2760A">
        <w:rPr>
          <w:rFonts w:ascii="Arial" w:eastAsia="Times New Roman" w:hAnsi="Arial" w:cs="Arial"/>
          <w:b/>
          <w:bCs/>
          <w:color w:val="FF0000"/>
          <w:sz w:val="21"/>
          <w:lang w:eastAsia="it-IT"/>
        </w:rPr>
        <w:t>4 CREDITI FORMATIVI </w:t>
      </w:r>
      <w:r w:rsidRPr="00A2760A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ai geometri partecipanti alla giornata di formazione </w:t>
      </w:r>
    </w:p>
    <w:p w:rsidR="00792837" w:rsidRDefault="00792837"/>
    <w:p w:rsidR="009728AB" w:rsidRDefault="009728AB"/>
    <w:p w:rsidR="009728AB" w:rsidRDefault="009728AB"/>
    <w:sectPr w:rsidR="009728AB" w:rsidSect="00792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760A"/>
    <w:rsid w:val="00087D3C"/>
    <w:rsid w:val="000A0B85"/>
    <w:rsid w:val="001C039C"/>
    <w:rsid w:val="0043433F"/>
    <w:rsid w:val="004D287E"/>
    <w:rsid w:val="004E4231"/>
    <w:rsid w:val="00726598"/>
    <w:rsid w:val="00792837"/>
    <w:rsid w:val="009728AB"/>
    <w:rsid w:val="00A2760A"/>
    <w:rsid w:val="00A510B7"/>
    <w:rsid w:val="00DE74F3"/>
    <w:rsid w:val="00E20E7D"/>
    <w:rsid w:val="00E30794"/>
    <w:rsid w:val="00E7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2760A"/>
    <w:rPr>
      <w:b/>
      <w:bCs/>
    </w:rPr>
  </w:style>
  <w:style w:type="character" w:customStyle="1" w:styleId="apple-converted-space">
    <w:name w:val="apple-converted-space"/>
    <w:basedOn w:val="Carpredefinitoparagrafo"/>
    <w:rsid w:val="00A276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33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C0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ilportale.com/prodotti/giorni-oscar-prefabbricati/pavimentazione-per-marciapiede-e-cordolatura/lastra-per-rotatorie_31073.html" TargetMode="External"/><Relationship Id="rId5" Type="http://schemas.openxmlformats.org/officeDocument/2006/relationships/hyperlink" Target="http://www.edilportale.com/prodotti/giorni-oscar-prefabbricati/canaletta-drenante/cordolo-canaletta-drenante_12629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Giorni Oscar di Massimo Gior</dc:creator>
  <cp:keywords/>
  <dc:description/>
  <cp:lastModifiedBy>Giorni Oscar di Massimo Gior</cp:lastModifiedBy>
  <cp:revision>1</cp:revision>
  <dcterms:created xsi:type="dcterms:W3CDTF">2012-05-22T06:00:00Z</dcterms:created>
  <dcterms:modified xsi:type="dcterms:W3CDTF">2012-05-22T06:51:00Z</dcterms:modified>
</cp:coreProperties>
</file>